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verflowPunct w:val="0"/>
        <w:topLinePunct w:val="1"/>
        <w:spacing w:beforeLines="0" w:line="600" w:lineRule="exact"/>
        <w:jc w:val="center"/>
        <w:rPr>
          <w:rFonts w:hint="default" w:ascii="Times New Roman" w:hAnsi="Times New Roman" w:eastAsia="方正小标宋简体" w:cs="Times New Roman"/>
          <w:sz w:val="44"/>
          <w:szCs w:val="24"/>
          <w:lang w:eastAsia="zh-CN"/>
        </w:rPr>
      </w:pPr>
      <w:r>
        <w:rPr>
          <w:rFonts w:hint="default" w:ascii="Times New Roman" w:hAnsi="Times New Roman" w:eastAsia="方正小标宋简体" w:cs="Times New Roman"/>
          <w:sz w:val="44"/>
          <w:szCs w:val="24"/>
          <w:lang w:eastAsia="zh-CN"/>
        </w:rPr>
        <w:t>第</w:t>
      </w:r>
      <w:r>
        <w:rPr>
          <w:rFonts w:hint="eastAsia" w:ascii="Times New Roman" w:hAnsi="Times New Roman" w:eastAsia="方正小标宋简体" w:cs="Times New Roman"/>
          <w:sz w:val="44"/>
          <w:szCs w:val="24"/>
          <w:lang w:val="en-US" w:eastAsia="zh-CN"/>
        </w:rPr>
        <w:t>二</w:t>
      </w:r>
      <w:r>
        <w:rPr>
          <w:rFonts w:hint="default" w:ascii="Times New Roman" w:hAnsi="Times New Roman" w:eastAsia="方正小标宋简体" w:cs="Times New Roman"/>
          <w:sz w:val="44"/>
          <w:szCs w:val="24"/>
          <w:lang w:val="en-US" w:eastAsia="zh-CN"/>
        </w:rPr>
        <w:t>轮</w:t>
      </w:r>
      <w:r>
        <w:rPr>
          <w:rFonts w:hint="default" w:ascii="Times New Roman" w:hAnsi="Times New Roman" w:eastAsia="方正小标宋简体" w:cs="Times New Roman"/>
          <w:sz w:val="44"/>
          <w:szCs w:val="24"/>
          <w:lang w:eastAsia="zh-CN"/>
        </w:rPr>
        <w:t>西藏自治区</w:t>
      </w:r>
      <w:r>
        <w:rPr>
          <w:rFonts w:hint="default" w:ascii="Times New Roman" w:hAnsi="Times New Roman" w:eastAsia="方正小标宋简体" w:cs="Times New Roman"/>
          <w:sz w:val="44"/>
          <w:szCs w:val="24"/>
        </w:rPr>
        <w:t>生态环境保护督察</w:t>
      </w:r>
      <w:r>
        <w:rPr>
          <w:rFonts w:hint="default" w:ascii="Times New Roman" w:hAnsi="Times New Roman" w:eastAsia="方正小标宋简体" w:cs="Times New Roman"/>
          <w:sz w:val="44"/>
          <w:szCs w:val="24"/>
          <w:lang w:eastAsia="zh-CN"/>
        </w:rPr>
        <w:t>报告</w:t>
      </w:r>
    </w:p>
    <w:p>
      <w:pPr>
        <w:overflowPunct w:val="0"/>
        <w:topLinePunct w:val="1"/>
        <w:spacing w:beforeLines="0" w:line="600" w:lineRule="exact"/>
        <w:jc w:val="center"/>
        <w:rPr>
          <w:rFonts w:hint="default" w:ascii="Times New Roman" w:hAnsi="Times New Roman" w:eastAsia="方正小标宋简体" w:cs="Times New Roman"/>
          <w:sz w:val="44"/>
          <w:szCs w:val="24"/>
        </w:rPr>
      </w:pPr>
      <w:r>
        <w:rPr>
          <w:rFonts w:hint="default" w:ascii="Times New Roman" w:hAnsi="Times New Roman" w:eastAsia="方正小标宋简体" w:cs="Times New Roman"/>
          <w:sz w:val="44"/>
          <w:szCs w:val="24"/>
        </w:rPr>
        <w:t>反馈意见（</w:t>
      </w:r>
      <w:r>
        <w:rPr>
          <w:rFonts w:hint="eastAsia" w:ascii="Times New Roman" w:hAnsi="Times New Roman" w:eastAsia="方正小标宋简体" w:cs="Times New Roman"/>
          <w:sz w:val="44"/>
          <w:szCs w:val="24"/>
          <w:lang w:val="en-US" w:eastAsia="zh-CN"/>
        </w:rPr>
        <w:t>28—1</w:t>
      </w:r>
      <w:r>
        <w:rPr>
          <w:rFonts w:hint="default" w:ascii="Times New Roman" w:hAnsi="Times New Roman" w:eastAsia="方正小标宋简体" w:cs="Times New Roman"/>
          <w:sz w:val="44"/>
          <w:szCs w:val="24"/>
        </w:rPr>
        <w:t>）整改措施</w:t>
      </w:r>
    </w:p>
    <w:p>
      <w:pPr>
        <w:overflowPunct w:val="0"/>
        <w:topLinePunct w:val="1"/>
        <w:spacing w:beforeLines="0" w:line="600" w:lineRule="exact"/>
        <w:jc w:val="center"/>
        <w:rPr>
          <w:rFonts w:hint="default" w:ascii="Times New Roman" w:hAnsi="Times New Roman" w:eastAsia="方正仿宋简体" w:cs="Times New Roman"/>
          <w:sz w:val="32"/>
          <w:szCs w:val="24"/>
        </w:rPr>
      </w:pPr>
      <w:r>
        <w:rPr>
          <w:rFonts w:hint="default" w:ascii="Times New Roman" w:hAnsi="Times New Roman" w:eastAsia="方正小标宋简体" w:cs="Times New Roman"/>
          <w:sz w:val="44"/>
          <w:szCs w:val="24"/>
        </w:rPr>
        <w:t>完成情况公示表</w:t>
      </w:r>
    </w:p>
    <w:p>
      <w:pPr>
        <w:overflowPunct w:val="0"/>
        <w:topLinePunct w:val="1"/>
        <w:spacing w:beforeLines="0"/>
        <w:rPr>
          <w:rFonts w:hint="default" w:ascii="Times New Roman" w:hAnsi="Times New Roman" w:eastAsia="方正仿宋简体" w:cs="Times New Roman"/>
          <w:sz w:val="32"/>
          <w:szCs w:val="24"/>
        </w:rPr>
      </w:pPr>
    </w:p>
    <w:tbl>
      <w:tblPr>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反馈问题</w:t>
            </w:r>
          </w:p>
        </w:tc>
        <w:tc>
          <w:tcPr>
            <w:tcW w:w="6018"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topLinePunct w:val="1"/>
              <w:spacing w:beforeLines="0"/>
              <w:jc w:val="left"/>
              <w:rPr>
                <w:rFonts w:hint="default" w:ascii="Times New Roman" w:hAnsi="Times New Roman" w:eastAsia="方正仿宋简体" w:cs="Times New Roman"/>
                <w:kern w:val="0"/>
                <w:sz w:val="32"/>
                <w:szCs w:val="24"/>
              </w:rPr>
            </w:pPr>
            <w:r>
              <w:rPr>
                <w:rFonts w:hint="eastAsia" w:ascii="宋体" w:hAnsi="宋体" w:eastAsia="仿宋_GB2312" w:cs="仿宋_GB2312"/>
                <w:b w:val="0"/>
                <w:bCs w:val="0"/>
                <w:sz w:val="32"/>
                <w:szCs w:val="32"/>
                <w:lang w:val="en-US" w:eastAsia="zh-CN"/>
              </w:rPr>
              <w:t>措美县乃西乡扶贫砂石料场、隆子县新巴忙错砂石场、恒华新型建材有限公司等企业均不同程度存在扬尘污染防治措施落实不力、生产生活废水直排、水质监测不到位、生活垃圾收集管理不规范等问题。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核查情况</w:t>
            </w:r>
          </w:p>
        </w:tc>
        <w:tc>
          <w:tcPr>
            <w:tcW w:w="6018" w:type="dxa"/>
            <w:tcBorders>
              <w:top w:val="single" w:color="auto" w:sz="4" w:space="0"/>
              <w:left w:val="single" w:color="auto" w:sz="4" w:space="0"/>
              <w:bottom w:val="single" w:color="auto" w:sz="4" w:space="0"/>
              <w:right w:val="single" w:color="auto" w:sz="4" w:space="0"/>
              <w:tl2br w:val="nil"/>
              <w:tr2bl w:val="nil"/>
            </w:tcBorders>
            <w:vAlign w:val="top"/>
          </w:tcPr>
          <w:p>
            <w:pPr>
              <w:pStyle w:val="2"/>
              <w:ind w:left="0" w:leftChars="0" w:firstLine="0" w:firstLineChars="0"/>
              <w:rPr>
                <w:rFonts w:hint="default" w:ascii="Times New Roman" w:hAnsi="Times New Roman" w:eastAsia="方正仿宋简体" w:cs="Times New Roman"/>
                <w:kern w:val="0"/>
                <w:sz w:val="32"/>
                <w:szCs w:val="24"/>
              </w:rPr>
            </w:pPr>
            <w:r>
              <w:rPr>
                <w:rFonts w:hint="eastAsia" w:ascii="仿宋_GB2312" w:hAnsi="仿宋_GB2312" w:eastAsia="仿宋_GB2312" w:cs="仿宋_GB2312"/>
                <w:b w:val="0"/>
                <w:bCs w:val="0"/>
                <w:sz w:val="32"/>
                <w:szCs w:val="32"/>
                <w:lang w:val="en-US" w:eastAsia="zh-CN"/>
              </w:rPr>
              <w:t>隆子县新巴忙措砂石场扬尘污染防治措施不力、水质监测不到位、生活垃圾收集管理不规范。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整改目标</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lang w:val="en-US" w:eastAsia="zh-CN"/>
              </w:rPr>
            </w:pPr>
            <w:r>
              <w:rPr>
                <w:rFonts w:hint="eastAsia" w:ascii="仿宋_GB2312" w:hAnsi="仿宋_GB2312" w:eastAsia="仿宋_GB2312" w:cs="仿宋_GB2312"/>
                <w:kern w:val="0"/>
                <w:sz w:val="32"/>
                <w:szCs w:val="24"/>
                <w:lang w:val="en-US" w:eastAsia="zh-CN"/>
              </w:rPr>
              <w:t>强化日常监督，确保砂石场规范运行。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整改措施</w:t>
            </w:r>
          </w:p>
        </w:tc>
        <w:tc>
          <w:tcPr>
            <w:tcW w:w="6018"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topLinePunct w:val="1"/>
              <w:spacing w:beforeLines="0"/>
              <w:jc w:val="left"/>
              <w:rPr>
                <w:rFonts w:hint="default" w:ascii="Times New Roman" w:hAnsi="Times New Roman" w:eastAsia="方正仿宋简体" w:cs="Times New Roman"/>
                <w:kern w:val="0"/>
                <w:sz w:val="32"/>
                <w:szCs w:val="24"/>
              </w:rPr>
            </w:pPr>
            <w:r>
              <w:rPr>
                <w:rFonts w:hint="eastAsia" w:ascii="宋体" w:hAnsi="宋体" w:eastAsia="仿宋_GB2312" w:cs="仿宋_GB2312"/>
                <w:sz w:val="32"/>
                <w:szCs w:val="32"/>
                <w:lang w:val="en-US" w:eastAsia="zh-CN"/>
              </w:rPr>
              <w:t>加强行业监管责任，确保全县砂石场规范运营，防止造成对环境污染。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lang w:eastAsia="zh-CN"/>
              </w:rPr>
            </w:pPr>
            <w:r>
              <w:rPr>
                <w:rFonts w:hint="default" w:ascii="Times New Roman" w:hAnsi="Times New Roman" w:eastAsia="方正仿宋简体" w:cs="Times New Roman"/>
                <w:kern w:val="0"/>
                <w:sz w:val="32"/>
                <w:szCs w:val="24"/>
              </w:rPr>
              <w:t>牵头</w:t>
            </w:r>
            <w:r>
              <w:rPr>
                <w:rFonts w:hint="default" w:ascii="Times New Roman" w:hAnsi="Times New Roman" w:eastAsia="方正仿宋简体" w:cs="Times New Roman"/>
                <w:kern w:val="0"/>
                <w:sz w:val="32"/>
                <w:szCs w:val="24"/>
                <w:lang w:eastAsia="zh-CN"/>
              </w:rPr>
              <w:t>单位</w:t>
            </w:r>
          </w:p>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（责任单位）</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lang w:val="en-US" w:eastAsia="zh-CN"/>
              </w:rPr>
            </w:pPr>
            <w:r>
              <w:rPr>
                <w:rFonts w:hint="eastAsia" w:ascii="仿宋_GB2312" w:hAnsi="仿宋_GB2312" w:eastAsia="仿宋_GB2312" w:cs="仿宋_GB2312"/>
                <w:kern w:val="0"/>
                <w:sz w:val="32"/>
                <w:szCs w:val="24"/>
                <w:lang w:val="en-US" w:eastAsia="zh-CN"/>
              </w:rPr>
              <w:t>隆子县人民政府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责任人</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lang w:val="en-US" w:eastAsia="zh-CN"/>
              </w:rPr>
              <w:t>巴桑次仁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联系电话</w:t>
            </w:r>
          </w:p>
        </w:tc>
        <w:tc>
          <w:tcPr>
            <w:tcW w:w="6018"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仿宋_GB2312" w:hAnsi="仿宋_GB2312" w:eastAsia="仿宋_GB2312" w:cs="仿宋_GB2312"/>
                <w:kern w:val="0"/>
                <w:sz w:val="32"/>
                <w:szCs w:val="24"/>
                <w:lang w:val="en-US" w:eastAsia="zh-CN"/>
              </w:rPr>
            </w:pPr>
            <w:r>
              <w:rPr>
                <w:rFonts w:hint="eastAsia" w:ascii="仿宋_GB2312" w:hAnsi="仿宋_GB2312" w:eastAsia="仿宋_GB2312" w:cs="仿宋_GB2312"/>
                <w:kern w:val="0"/>
                <w:sz w:val="32"/>
                <w:szCs w:val="24"/>
                <w:lang w:val="en-US" w:eastAsia="zh-CN"/>
              </w:rPr>
              <w:t>0893-7342132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4" w:hRule="atLeast"/>
          <w:jc w:val="center"/>
        </w:trPr>
        <w:tc>
          <w:tcPr>
            <w:tcW w:w="2672" w:type="dxa"/>
            <w:tcBorders>
              <w:top w:val="single" w:color="auto" w:sz="4" w:space="0"/>
              <w:left w:val="single" w:color="auto" w:sz="4" w:space="0"/>
              <w:bottom w:val="single" w:color="auto" w:sz="4" w:space="0"/>
              <w:right w:val="single" w:color="auto" w:sz="4" w:space="0"/>
              <w:tl2br w:val="nil"/>
              <w:tr2bl w:val="nil"/>
            </w:tcBorders>
            <w:vAlign w:val="center"/>
          </w:tcPr>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整改主要工作</w:t>
            </w:r>
          </w:p>
          <w:p>
            <w:pPr>
              <w:overflowPunct w:val="0"/>
              <w:topLinePunct w:val="1"/>
              <w:spacing w:beforeLines="0"/>
              <w:jc w:val="center"/>
              <w:rPr>
                <w:rFonts w:hint="default" w:ascii="Times New Roman" w:hAnsi="Times New Roman" w:eastAsia="方正仿宋简体" w:cs="Times New Roman"/>
                <w:kern w:val="0"/>
                <w:sz w:val="32"/>
                <w:szCs w:val="24"/>
              </w:rPr>
            </w:pPr>
            <w:r>
              <w:rPr>
                <w:rFonts w:hint="default" w:ascii="Times New Roman" w:hAnsi="Times New Roman" w:eastAsia="方正仿宋简体" w:cs="Times New Roman"/>
                <w:kern w:val="0"/>
                <w:sz w:val="32"/>
                <w:szCs w:val="24"/>
              </w:rPr>
              <w:t>及成效</w:t>
            </w:r>
          </w:p>
        </w:tc>
        <w:tc>
          <w:tcPr>
            <w:tcW w:w="6018" w:type="dxa"/>
            <w:tcBorders>
              <w:top w:val="single" w:color="auto" w:sz="4" w:space="0"/>
              <w:left w:val="single" w:color="auto" w:sz="4" w:space="0"/>
              <w:bottom w:val="single" w:color="auto" w:sz="4" w:space="0"/>
              <w:right w:val="single" w:color="auto" w:sz="4" w:space="0"/>
              <w:tl2br w:val="nil"/>
              <w:tr2bl w:val="nil"/>
            </w:tcBorders>
            <w:vAlign w:val="top"/>
          </w:tcPr>
          <w:p>
            <w:pPr>
              <w:overflowPunct w:val="0"/>
              <w:topLinePunct w:val="1"/>
              <w:spacing w:beforeLines="0"/>
              <w:jc w:val="left"/>
              <w:rPr>
                <w:rFonts w:hint="default" w:ascii="Times New Roman" w:hAnsi="Times New Roman" w:eastAsia="方正仿宋简体" w:cs="Times New Roman"/>
                <w:kern w:val="0"/>
                <w:sz w:val="32"/>
                <w:szCs w:val="24"/>
              </w:rPr>
            </w:pPr>
            <w:r>
              <w:rPr>
                <w:rFonts w:hint="eastAsia" w:ascii="宋体" w:hAnsi="宋体" w:eastAsia="仿宋_GB2312" w:cs="仿宋_GB2312"/>
                <w:sz w:val="32"/>
                <w:szCs w:val="32"/>
                <w:lang w:val="en-US" w:eastAsia="zh-CN"/>
              </w:rPr>
              <w:t>山南市生态环境局隆子县分局及县水利局多次到忙措砂石场开展生态环境保护督察工作，并督促其加快问题整改工作，目前现场已完成整改，并按照相关要求开展日常工作。2024年4月开展水质检测1次（第一季度停工期未生产），结果显示达标（生产废水循环利用未外排）。</w:t>
            </w:r>
          </w:p>
        </w:tc>
      </w:tr>
    </w:tbl>
    <w:p/>
    <w:sectPr>
      <w:headerReference r:id="rId4" w:type="default"/>
      <w:footerReference r:id="rId5" w:type="default"/>
      <w:pgSz w:w="11906" w:h="16838"/>
      <w:pgMar w:top="2098" w:right="1474" w:bottom="215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2"/>
        <w:lang w:val="en-US" w:eastAsia="zh-CN" w:bidi="ar-SA"/>
      </w:rPr>
      <w:pict>
        <v:shape id="文本框 1" o:spid="_x0000_s1025" type="#_x0000_t202" style="position:absolute;left:0;margin-top:-23.15pt;height:34.3pt;width:52.2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pPr>
                  <w:pStyle w:val="2"/>
                  <w:rPr>
                    <w:rFonts w:hint="eastAsia"/>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mNjNjJkYzQyZGU3YzY3NmY3OTRkMTYwNTVjOTg0ZDk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paragraph" w:styleId="2">
    <w:name w:val="Normal Indent"/>
    <w:basedOn w:val="1"/>
    <w:next w:val="1"/>
    <w:qFormat/>
    <w:uiPriority w:val="0"/>
    <w:pPr>
      <w:snapToGrid w:val="0"/>
      <w:spacing w:line="300" w:lineRule="auto"/>
      <w:ind w:firstLine="556"/>
    </w:pPr>
    <w:rPr>
      <w:rFonts w:ascii="仿宋_GB2312" w:eastAsia="仿宋_GB2312"/>
      <w:kern w:val="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ScaleCrop>false</ScaleCrop>
  <LinksUpToDate>false</LinksUpToDate>
  <CharactersWithSpaces>0</CharactersWithSpaces>
  <Application>WPS Office 个人版_9.1.0.4842_{F1E327BC-269C-435d-A152-05C5408002CA}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2022-04-07T03:45:00Z</dcterms:created>
  <dc:creator>lenovo</dc:creator>
  <cp:lastModifiedBy>Administrator</cp:lastModifiedBy>
  <dcterms:modified xsi:type="dcterms:W3CDTF">2024-08-14T01:44:29Z</dcterms:modified>
  <dc:title>第二轮西藏自治区生态环境保护督察报告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y fmtid="{D5CDD505-2E9C-101B-9397-08002B2CF9AE}" pid="3" name="ICV">
    <vt:lpwstr>1DC98B66FD4E464493A0A70C0487903E</vt:lpwstr>
  </property>
</Properties>
</file>